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377C" w14:textId="465A71AC" w:rsidR="00B83655" w:rsidRPr="00955190" w:rsidRDefault="00B83655" w:rsidP="00B83655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955190">
        <w:rPr>
          <w:rFonts w:ascii="Times New Roman" w:hAnsi="Times New Roman" w:cs="Times New Roman"/>
          <w:sz w:val="36"/>
          <w:szCs w:val="36"/>
          <w:lang w:val="kk-KZ"/>
        </w:rPr>
        <w:t xml:space="preserve">14 Дәріс – </w:t>
      </w:r>
      <w:r w:rsidR="00955190" w:rsidRPr="00955190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Тұрақты дамудағы  БҰҰ</w:t>
      </w:r>
      <w:r w:rsidR="00955190" w:rsidRPr="00955190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қ</w:t>
      </w:r>
      <w:r w:rsidR="00955190" w:rsidRPr="00955190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ұрылық экожүйелерін сақтауды</w:t>
      </w:r>
      <w:r w:rsidR="00955190" w:rsidRPr="00955190">
        <w:rPr>
          <w:rFonts w:ascii="Times New Roman" w:hAnsi="Times New Roman" w:cs="Times New Roman"/>
          <w:sz w:val="36"/>
          <w:szCs w:val="36"/>
          <w:lang w:val="kk-KZ"/>
        </w:rPr>
        <w:t xml:space="preserve"> басқарудағы ролі</w:t>
      </w:r>
    </w:p>
    <w:p w14:paraId="1EAD5F19" w14:textId="77777777" w:rsidR="00B83655" w:rsidRPr="00955190" w:rsidRDefault="00B83655" w:rsidP="00B83655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955190">
        <w:rPr>
          <w:rFonts w:ascii="Times New Roman" w:hAnsi="Times New Roman" w:cs="Times New Roman"/>
          <w:sz w:val="36"/>
          <w:szCs w:val="36"/>
          <w:lang w:val="kk-KZ"/>
        </w:rPr>
        <w:t>Сұрақтар:</w:t>
      </w:r>
    </w:p>
    <w:p w14:paraId="7C260DC2" w14:textId="3AA08E57" w:rsidR="00B83655" w:rsidRPr="00955190" w:rsidRDefault="00B83655" w:rsidP="00B83655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955190">
        <w:rPr>
          <w:rFonts w:ascii="Times New Roman" w:hAnsi="Times New Roman" w:cs="Times New Roman"/>
          <w:sz w:val="36"/>
          <w:szCs w:val="36"/>
          <w:lang w:val="kk-KZ"/>
        </w:rPr>
        <w:t>1.</w:t>
      </w:r>
      <w:r w:rsidRPr="00955190">
        <w:rPr>
          <w:rFonts w:ascii="Times New Roman" w:hAnsi="Times New Roman" w:cs="Times New Roman"/>
          <w:bCs/>
          <w:sz w:val="36"/>
          <w:szCs w:val="36"/>
          <w:lang w:val="kk-KZ"/>
        </w:rPr>
        <w:t xml:space="preserve"> </w:t>
      </w:r>
      <w:r w:rsidR="00955190" w:rsidRPr="00955190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Тұрақты дамудағы  БҰҰ</w:t>
      </w:r>
      <w:r w:rsidR="00955190" w:rsidRPr="00955190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қ</w:t>
      </w:r>
      <w:r w:rsidR="00955190" w:rsidRPr="00955190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ұрылық экожүйелерін сақтауды</w:t>
      </w:r>
      <w:r w:rsidR="00955190" w:rsidRPr="00955190">
        <w:rPr>
          <w:rFonts w:ascii="Times New Roman" w:hAnsi="Times New Roman" w:cs="Times New Roman"/>
          <w:sz w:val="36"/>
          <w:szCs w:val="36"/>
          <w:lang w:val="kk-KZ"/>
        </w:rPr>
        <w:t xml:space="preserve"> басқарудағы ролі</w:t>
      </w:r>
    </w:p>
    <w:p w14:paraId="03C81E20" w14:textId="1778634D" w:rsidR="00955190" w:rsidRPr="00955190" w:rsidRDefault="00B83655" w:rsidP="00955190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955190">
        <w:rPr>
          <w:rFonts w:ascii="Times New Roman" w:hAnsi="Times New Roman" w:cs="Times New Roman"/>
          <w:sz w:val="36"/>
          <w:szCs w:val="36"/>
          <w:lang w:val="kk-KZ"/>
        </w:rPr>
        <w:t>2.</w:t>
      </w:r>
      <w:r w:rsidRPr="00955190">
        <w:rPr>
          <w:rFonts w:ascii="Times New Roman" w:hAnsi="Times New Roman" w:cs="Times New Roman"/>
          <w:bCs/>
          <w:sz w:val="36"/>
          <w:szCs w:val="36"/>
          <w:lang w:val="kk-KZ"/>
        </w:rPr>
        <w:t xml:space="preserve"> </w:t>
      </w:r>
      <w:r w:rsidR="00955190" w:rsidRPr="00955190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</w:t>
      </w:r>
      <w:bookmarkStart w:id="0" w:name="_Hlk218358807"/>
      <w:r w:rsidR="00955190" w:rsidRPr="00955190">
        <w:rPr>
          <w:rFonts w:ascii="Times New Roman" w:hAnsi="Times New Roman" w:cs="Times New Roman"/>
          <w:color w:val="FF0000"/>
          <w:sz w:val="36"/>
          <w:szCs w:val="36"/>
          <w:lang w:val="kk-KZ"/>
        </w:rPr>
        <w:t>Қ</w:t>
      </w:r>
      <w:r w:rsidR="00955190" w:rsidRPr="00955190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ұрылық экожүйелерін сақтауды</w:t>
      </w:r>
      <w:r w:rsidR="00955190" w:rsidRPr="00955190">
        <w:rPr>
          <w:rFonts w:ascii="Times New Roman" w:hAnsi="Times New Roman" w:cs="Times New Roman"/>
          <w:bCs/>
          <w:sz w:val="36"/>
          <w:szCs w:val="36"/>
          <w:lang w:val="kk-KZ"/>
        </w:rPr>
        <w:t xml:space="preserve"> инновацияның басым бағыттары</w:t>
      </w:r>
      <w:bookmarkEnd w:id="0"/>
    </w:p>
    <w:p w14:paraId="5AEAB6D9" w14:textId="100186B9" w:rsidR="00B83655" w:rsidRPr="00955190" w:rsidRDefault="00B83655" w:rsidP="00B83655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2CEBD0C2" w14:textId="51F711E3" w:rsidR="00B83655" w:rsidRPr="00955190" w:rsidRDefault="00B83655" w:rsidP="00B836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55190">
        <w:rPr>
          <w:rFonts w:ascii="Times New Roman" w:hAnsi="Times New Roman" w:cs="Times New Roman"/>
          <w:color w:val="0070C0"/>
          <w:sz w:val="28"/>
          <w:szCs w:val="28"/>
          <w:lang w:val="kk-KZ"/>
        </w:rPr>
        <w:t>Дәрістің мақсаты</w:t>
      </w:r>
      <w:r w:rsidRPr="00955190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95519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магистранттарға </w:t>
      </w:r>
      <w:r w:rsidR="00955190" w:rsidRPr="0095519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тұрақты дамудағы  БҰҰ</w:t>
      </w:r>
      <w:r w:rsidR="00955190" w:rsidRPr="0095519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қ</w:t>
      </w:r>
      <w:r w:rsidR="00955190" w:rsidRPr="0095519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ұрылық экожүйелерін сақтауды</w:t>
      </w:r>
      <w:r w:rsidR="00955190" w:rsidRPr="00955190">
        <w:rPr>
          <w:rFonts w:ascii="Times New Roman" w:hAnsi="Times New Roman" w:cs="Times New Roman"/>
          <w:sz w:val="28"/>
          <w:szCs w:val="28"/>
          <w:lang w:val="kk-KZ"/>
        </w:rPr>
        <w:t xml:space="preserve"> басқарудағы ролі</w:t>
      </w:r>
      <w:r w:rsidR="00955190" w:rsidRPr="0095519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55190">
        <w:rPr>
          <w:rFonts w:ascii="Times New Roman" w:hAnsi="Times New Roman" w:cs="Times New Roman"/>
          <w:bCs/>
          <w:sz w:val="28"/>
          <w:szCs w:val="28"/>
          <w:lang w:val="kk-KZ"/>
        </w:rPr>
        <w:t>жүйелі жан-жақты түсіндіру</w:t>
      </w:r>
    </w:p>
    <w:p w14:paraId="3CFD5FEC" w14:textId="77777777" w:rsidR="001632AF" w:rsidRDefault="001632AF">
      <w:pPr>
        <w:rPr>
          <w:lang w:val="kk-KZ"/>
        </w:rPr>
      </w:pPr>
    </w:p>
    <w:p w14:paraId="315A40ED" w14:textId="77777777" w:rsidR="00A72932" w:rsidRPr="00A72932" w:rsidRDefault="00A72932" w:rsidP="00A72932">
      <w:pPr>
        <w:spacing w:after="195" w:line="240" w:lineRule="auto"/>
        <w:outlineLvl w:val="2"/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</w:pPr>
      <w:r w:rsidRPr="00A72932"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  <w:t>Мақсат 15: Құрлық экожүйелерін қорғау және қалпына келтіру және олардың оңтайлы пайдаланылуына жәрдемдесу, ормандарды оңтайлы пайдалану, шөлейттенумен күрес, жердің азу процесін тоқтату және кері бұру және биоәртүрлілікті жоғалту процесін тоқтату</w:t>
      </w:r>
    </w:p>
    <w:p w14:paraId="6E79940B" w14:textId="77777777" w:rsidR="00A72932" w:rsidRPr="00A72932" w:rsidRDefault="00A72932" w:rsidP="00A72932">
      <w:pPr>
        <w:spacing w:before="450" w:after="195" w:line="240" w:lineRule="auto"/>
        <w:outlineLvl w:val="3"/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</w:pPr>
      <w:proofErr w:type="spellStart"/>
      <w:r w:rsidRPr="00A72932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Тапсырмалар</w:t>
      </w:r>
      <w:proofErr w:type="spellEnd"/>
      <w:r w:rsidRPr="00A72932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:</w:t>
      </w:r>
    </w:p>
    <w:p w14:paraId="493162EE" w14:textId="77777777" w:rsidR="00A72932" w:rsidRPr="00A72932" w:rsidRDefault="00A72932" w:rsidP="00A72932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2020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халықаралық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келісімдерде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белгіленген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міндеттемелерге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сәйкес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жер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үсті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ішкі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тұщысу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экожүйелерін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қызметтерін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атап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айтқанда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ормандардың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сулы-батпақты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алқаптардың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таулардың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шөлейт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жерлердің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сақталуын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қалпына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келтірілуін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оңтайлы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қолданылуын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06AD24E6" w14:textId="77777777" w:rsidR="00A72932" w:rsidRPr="00A72932" w:rsidRDefault="00A72932" w:rsidP="00A72932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2020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ормандардың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түрлерін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оңтайлы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әдістерін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енгізуге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жәрдемдесу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ормансыздануды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тоқтату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тозған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ормандарды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қалпына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келтіру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бүкіл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әлемдегі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орман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өсіру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орманды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қалпына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келтіру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ауқымдарын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кеңейту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3B6D3644" w14:textId="77777777" w:rsidR="00A72932" w:rsidRPr="00A72932" w:rsidRDefault="00A72932" w:rsidP="00A72932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шөлге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айналумен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күресу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шөлге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айналған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құрғақшылыққа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ұшыраған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су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басқан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жерлерді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қосқанда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тозған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жерлер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топырақтарды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қалпына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келтіру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бүкіл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әлемдегі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жердің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жағдайын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нашарлатпауға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ұмтылу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67C796B5" w14:textId="77777777" w:rsidR="00A72932" w:rsidRPr="00A72932" w:rsidRDefault="00A72932" w:rsidP="00A72932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тау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экожүйелерінің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ішінде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биологиялық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алуан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түрлілігінің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тұрақты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дамуға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деген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игілік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беру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мүмкіндіктерін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арттыру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сақталуын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6EED8CF2" w14:textId="77777777" w:rsidR="00A72932" w:rsidRPr="00A72932" w:rsidRDefault="00A72932" w:rsidP="00A72932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Табиғи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тіршілік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орталарының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тозуын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тоқтату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елеулі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шараларды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шұғыл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түрде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қолдану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биологиялық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алуан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түрлілікті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жоғалтуды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тоқтату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lastRenderedPageBreak/>
        <w:t xml:space="preserve">2020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қырылу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қаупіндегі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түрлерді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сақтау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жоғалуының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алдын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2A450F09" w14:textId="77777777" w:rsidR="00A72932" w:rsidRPr="00A72932" w:rsidRDefault="00A72932" w:rsidP="00A72932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Генетикалық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қорларды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игіліктерін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әділетті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үлестіруге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жәрдемдесу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халықаралық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деңгейде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келісілген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шарттарда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осындай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қорларға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тиісті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қолжетімділікті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етуге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ықпал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365E8E22" w14:textId="77777777" w:rsidR="00A72932" w:rsidRPr="00A72932" w:rsidRDefault="00A72932" w:rsidP="00A72932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Браконьерлік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флора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фаунаның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қорғалатын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түрлерінің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контрабандалық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саудасына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нүкте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қою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шұғыл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түрде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шаралар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қолдану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тірі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табиғаттың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заңсыз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өнімдеріне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деген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сұранысқа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ұсынылуына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қатысты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мәселелерді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шешу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647F7B3A" w14:textId="77777777" w:rsidR="00A72932" w:rsidRPr="00A72932" w:rsidRDefault="00A72932" w:rsidP="00A72932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2020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бөтен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инвазивті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түрлердің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енуінің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алдын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жер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үсті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су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экожүйелеріне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деген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әсерін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едәуір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азайту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шаралар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қолдану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сондай-ақ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сандарының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шектелуінің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немесе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басым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түрлерінің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жойылуының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алдын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шаралар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қолдану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09A747DA" w14:textId="77777777" w:rsidR="00A72932" w:rsidRPr="00A72932" w:rsidRDefault="00A72932" w:rsidP="00A72932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2020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жалпы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ұлттық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жергілікті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жоспарлау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даму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үдерістерінің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барысында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сондай-ақ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кедейлік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ауқымдарын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қысқарту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стратегиялары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жоспарларын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дайындау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жағдайында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экожүйелер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биологиялық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алуан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түрлілік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құндылықтың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есепке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алынуын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717C1942" w14:textId="77777777" w:rsidR="00A72932" w:rsidRPr="00A72932" w:rsidRDefault="00A72932" w:rsidP="00A72932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Биологиялық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алуан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түрлілік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пен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экожүйелерді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сақтау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мақсатында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көздерден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қаржылық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қорларды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жұмылдыру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айтарлықтай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ұлғайту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0E1F97B" w14:textId="77777777" w:rsidR="00A72932" w:rsidRPr="00A72932" w:rsidRDefault="00A72932" w:rsidP="00A72932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Орманды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пайдалануды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қаржыландыру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көздерден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деңгейде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елеулі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қорларды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жұмылдыру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осындай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басқару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әдістерін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ішінде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ормандарды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сақтау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қалпына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келтіру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елдерге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адекватты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ынта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беру.</w:t>
      </w:r>
    </w:p>
    <w:p w14:paraId="382CAAF1" w14:textId="77777777" w:rsidR="00A72932" w:rsidRPr="00A72932" w:rsidRDefault="00A72932" w:rsidP="00A72932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Браконьерлік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қорғалатын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түрлердің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контрабандалық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саудасымен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күрес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ғаламдық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күш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жұмылдыруды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іске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қосу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ішінде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жергілікті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халықтың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тіршілік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экологиялық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қауіпсіз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түрде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қаражат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мүмкіндіктерін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кеңейту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арқылы</w:t>
      </w:r>
      <w:proofErr w:type="spellEnd"/>
      <w:r w:rsidRPr="00A72932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67FF55D5" w14:textId="77777777" w:rsidR="00A72932" w:rsidRDefault="00A72932">
      <w:pPr>
        <w:rPr>
          <w:lang w:val="kk-KZ"/>
        </w:rPr>
      </w:pPr>
    </w:p>
    <w:p w14:paraId="0F7D2F01" w14:textId="77777777" w:rsidR="00A72932" w:rsidRDefault="00A72932">
      <w:pPr>
        <w:rPr>
          <w:lang w:val="kk-KZ"/>
        </w:rPr>
      </w:pPr>
    </w:p>
    <w:p w14:paraId="7FC54659" w14:textId="77777777" w:rsidR="00A72932" w:rsidRPr="00A72932" w:rsidRDefault="00A72932">
      <w:pPr>
        <w:rPr>
          <w:lang w:val="kk-KZ"/>
        </w:rPr>
      </w:pPr>
    </w:p>
    <w:p w14:paraId="384F5049" w14:textId="64449B56" w:rsidR="00A72932" w:rsidRDefault="00A72932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37082ACD" wp14:editId="1B68252F">
            <wp:extent cx="5940425" cy="4455319"/>
            <wp:effectExtent l="0" t="0" r="3175" b="2540"/>
            <wp:docPr id="21" name="Рисунок 20" descr="Изображение выглядит как на открытом воздухе, Человеческое лицо, человек, ребенок, начинающий ходить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0" descr="Изображение выглядит как на открытом воздухе, Человеческое лицо, человек, ребенок, начинающий ходить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D8BCC" w14:textId="77777777" w:rsidR="00A72932" w:rsidRDefault="00A72932">
      <w:pPr>
        <w:rPr>
          <w:lang w:val="kk-KZ"/>
        </w:rPr>
      </w:pPr>
    </w:p>
    <w:p w14:paraId="107B8181" w14:textId="77777777" w:rsidR="00A72932" w:rsidRDefault="00A72932">
      <w:pPr>
        <w:rPr>
          <w:lang w:val="kk-KZ"/>
        </w:rPr>
      </w:pPr>
    </w:p>
    <w:p w14:paraId="1489B322" w14:textId="77777777" w:rsidR="00A72932" w:rsidRDefault="00A72932">
      <w:pPr>
        <w:rPr>
          <w:lang w:val="kk-KZ"/>
        </w:rPr>
      </w:pPr>
    </w:p>
    <w:p w14:paraId="6EF7F36C" w14:textId="77777777" w:rsidR="00A72932" w:rsidRDefault="00A72932">
      <w:pPr>
        <w:rPr>
          <w:lang w:val="kk-KZ"/>
        </w:rPr>
      </w:pPr>
    </w:p>
    <w:p w14:paraId="4A8C1B7E" w14:textId="77777777" w:rsidR="00377A2B" w:rsidRDefault="00377A2B">
      <w:pPr>
        <w:rPr>
          <w:lang w:val="kk-KZ"/>
        </w:rPr>
      </w:pPr>
    </w:p>
    <w:p w14:paraId="64BF9233" w14:textId="77777777" w:rsidR="00377A2B" w:rsidRPr="0080216D" w:rsidRDefault="00377A2B" w:rsidP="00377A2B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2458A6B7" w14:textId="77777777" w:rsidR="00377A2B" w:rsidRPr="0080216D" w:rsidRDefault="00377A2B" w:rsidP="00377A2B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78007B71" w14:textId="77777777" w:rsidR="00377A2B" w:rsidRPr="0080216D" w:rsidRDefault="00377A2B" w:rsidP="00377A2B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58C8A66" w14:textId="77777777" w:rsidR="00377A2B" w:rsidRPr="0080216D" w:rsidRDefault="00377A2B" w:rsidP="00377A2B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3BA637B5" w14:textId="77777777" w:rsidR="00377A2B" w:rsidRPr="0080216D" w:rsidRDefault="00377A2B" w:rsidP="00377A2B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72B3ED9F" w14:textId="77777777" w:rsidR="00377A2B" w:rsidRPr="0080216D" w:rsidRDefault="00377A2B" w:rsidP="00377A2B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7BAFE8EA" w14:textId="77777777" w:rsidR="00377A2B" w:rsidRPr="0080216D" w:rsidRDefault="00377A2B" w:rsidP="00377A2B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26875876" w14:textId="77777777" w:rsidR="00377A2B" w:rsidRPr="0080216D" w:rsidRDefault="00377A2B" w:rsidP="00377A2B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31597FA9" w14:textId="77777777" w:rsidR="00377A2B" w:rsidRPr="0080216D" w:rsidRDefault="00377A2B" w:rsidP="00377A2B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5183333C" w14:textId="77777777" w:rsidR="00377A2B" w:rsidRPr="0080216D" w:rsidRDefault="00377A2B" w:rsidP="00377A2B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31517185" w14:textId="77777777" w:rsidR="00377A2B" w:rsidRPr="0080216D" w:rsidRDefault="00377A2B" w:rsidP="00377A2B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1C7CC44D" w14:textId="77777777" w:rsidR="00377A2B" w:rsidRPr="0080216D" w:rsidRDefault="00377A2B" w:rsidP="00377A2B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79836E4C" w14:textId="77777777" w:rsidR="00377A2B" w:rsidRPr="0080216D" w:rsidRDefault="00377A2B" w:rsidP="00377A2B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422B5FE2" w14:textId="77777777" w:rsidR="00377A2B" w:rsidRPr="0080216D" w:rsidRDefault="00377A2B" w:rsidP="00377A2B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150A27C3" w14:textId="77777777" w:rsidR="00377A2B" w:rsidRPr="0080216D" w:rsidRDefault="00377A2B" w:rsidP="00377A2B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lastRenderedPageBreak/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41A42255" w14:textId="77777777" w:rsidR="00377A2B" w:rsidRPr="0080216D" w:rsidRDefault="00377A2B" w:rsidP="00377A2B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50C5DD16" w14:textId="77777777" w:rsidR="00377A2B" w:rsidRPr="0080216D" w:rsidRDefault="00377A2B" w:rsidP="00377A2B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51BF7666" w14:textId="77777777" w:rsidR="00377A2B" w:rsidRPr="0080216D" w:rsidRDefault="00377A2B" w:rsidP="00377A2B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392E05FD" w14:textId="77777777" w:rsidR="00377A2B" w:rsidRPr="0080216D" w:rsidRDefault="00377A2B" w:rsidP="00377A2B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35A89A12" w14:textId="77777777" w:rsidR="00377A2B" w:rsidRPr="0080216D" w:rsidRDefault="00377A2B" w:rsidP="00377A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202B723E" w14:textId="77777777" w:rsidR="00377A2B" w:rsidRPr="0080216D" w:rsidRDefault="00377A2B" w:rsidP="00377A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3DCA75DD" w14:textId="77777777" w:rsidR="00377A2B" w:rsidRPr="0080216D" w:rsidRDefault="00377A2B" w:rsidP="00377A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1B1861C0" w14:textId="77777777" w:rsidR="00377A2B" w:rsidRPr="0080216D" w:rsidRDefault="00377A2B" w:rsidP="00377A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16ABAA6" w14:textId="77777777" w:rsidR="00377A2B" w:rsidRPr="0080216D" w:rsidRDefault="00377A2B" w:rsidP="00377A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687391D" w14:textId="77777777" w:rsidR="00377A2B" w:rsidRPr="0080216D" w:rsidRDefault="00377A2B" w:rsidP="00377A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4CA6D9F6" w14:textId="77777777" w:rsidR="00377A2B" w:rsidRPr="0080216D" w:rsidRDefault="00377A2B" w:rsidP="00377A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380496B2" w14:textId="77777777" w:rsidR="00377A2B" w:rsidRPr="0080216D" w:rsidRDefault="00377A2B" w:rsidP="00377A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23160CD2" w14:textId="77777777" w:rsidR="00377A2B" w:rsidRPr="0080216D" w:rsidRDefault="00377A2B" w:rsidP="00377A2B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1FF6AC2F" w14:textId="77777777" w:rsidR="00377A2B" w:rsidRPr="0080216D" w:rsidRDefault="00377A2B" w:rsidP="00377A2B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55383D06" w14:textId="77777777" w:rsidR="00377A2B" w:rsidRPr="0080216D" w:rsidRDefault="00377A2B" w:rsidP="00377A2B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6989E0A0" w14:textId="77777777" w:rsidR="00377A2B" w:rsidRPr="0080216D" w:rsidRDefault="00377A2B" w:rsidP="00377A2B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697B44F8" w14:textId="77777777" w:rsidR="00377A2B" w:rsidRPr="0080216D" w:rsidRDefault="00377A2B" w:rsidP="00377A2B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3911DF0C" w14:textId="77777777" w:rsidR="00377A2B" w:rsidRPr="0080216D" w:rsidRDefault="00377A2B" w:rsidP="00377A2B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7DA699FC" w14:textId="77777777" w:rsidR="00377A2B" w:rsidRPr="0080216D" w:rsidRDefault="00377A2B" w:rsidP="00377A2B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8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7B6E5573" w14:textId="77777777" w:rsidR="00377A2B" w:rsidRPr="0080216D" w:rsidRDefault="00377A2B" w:rsidP="00377A2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52D11530" w14:textId="77777777" w:rsidR="00377A2B" w:rsidRPr="0080216D" w:rsidRDefault="00377A2B" w:rsidP="00377A2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3A26A862" w14:textId="77777777" w:rsidR="00377A2B" w:rsidRPr="0080216D" w:rsidRDefault="00377A2B" w:rsidP="00377A2B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78167830" w14:textId="77777777" w:rsidR="00377A2B" w:rsidRPr="0080216D" w:rsidRDefault="00377A2B" w:rsidP="00377A2B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48439BDF" w14:textId="77777777" w:rsidR="00377A2B" w:rsidRPr="00377A2B" w:rsidRDefault="00377A2B">
      <w:pPr>
        <w:rPr>
          <w:lang w:val="kk-KZ"/>
        </w:rPr>
      </w:pPr>
    </w:p>
    <w:sectPr w:rsidR="00377A2B" w:rsidRPr="0037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C65BD"/>
    <w:multiLevelType w:val="multilevel"/>
    <w:tmpl w:val="C0C0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0"/>
  </w:num>
  <w:num w:numId="2" w16cid:durableId="114063853">
    <w:abstractNumId w:val="2"/>
  </w:num>
  <w:num w:numId="3" w16cid:durableId="1568300104">
    <w:abstractNumId w:val="3"/>
  </w:num>
  <w:num w:numId="4" w16cid:durableId="160632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28"/>
    <w:rsid w:val="001632AF"/>
    <w:rsid w:val="00310446"/>
    <w:rsid w:val="00377A2B"/>
    <w:rsid w:val="003A3B86"/>
    <w:rsid w:val="003E6D87"/>
    <w:rsid w:val="00547428"/>
    <w:rsid w:val="00955190"/>
    <w:rsid w:val="00A72932"/>
    <w:rsid w:val="00B83655"/>
    <w:rsid w:val="00C81942"/>
    <w:rsid w:val="00E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7785"/>
  <w15:chartTrackingRefBased/>
  <w15:docId w15:val="{BB09F7EF-1DFD-4628-88AE-25B73C1C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655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377A2B"/>
    <w:rPr>
      <w:color w:val="0000FF"/>
      <w:u w:val="single"/>
    </w:rPr>
  </w:style>
  <w:style w:type="table" w:styleId="ad">
    <w:name w:val="Table Grid"/>
    <w:basedOn w:val="a1"/>
    <w:uiPriority w:val="39"/>
    <w:rsid w:val="009551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anbook.com/book/261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rus.ru/catalog/ekonomika/514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7253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2026-01-03T10:42:00Z</dcterms:created>
  <dcterms:modified xsi:type="dcterms:W3CDTF">2026-01-04T13:11:00Z</dcterms:modified>
</cp:coreProperties>
</file>